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/>
      <w:bookmarkStart w:id="0" w:name="_Hlk158211272"/>
      <w:r/>
      <w:bookmarkEnd w:id="0"/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МБОУ «Кичучатовская СОШ»</w:t>
      </w: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sz w:val="36"/>
          <w:szCs w:val="3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Альметьевского муниципального района </w:t>
      </w:r>
      <w:r>
        <w:rPr>
          <w:rFonts w:ascii="Times New Roman" w:hAnsi="Times New Roman" w:eastAsia="Times New Roman" w:cs="Times New Roman"/>
          <w:b/>
          <w:sz w:val="36"/>
          <w:szCs w:val="3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b/>
          <w:sz w:val="36"/>
          <w:szCs w:val="3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56"/>
          <w:szCs w:val="56"/>
        </w:rPr>
      </w:pPr>
      <w:r>
        <w:rPr>
          <w:rFonts w:ascii="Times New Roman" w:hAnsi="Times New Roman" w:eastAsia="Times New Roman" w:cs="Times New Roman"/>
          <w:b/>
          <w:sz w:val="56"/>
          <w:szCs w:val="56"/>
        </w:rPr>
      </w:r>
      <w:r>
        <w:rPr>
          <w:rFonts w:ascii="Times New Roman" w:hAnsi="Times New Roman" w:eastAsia="Times New Roman" w:cs="Times New Roman"/>
          <w:b/>
          <w:sz w:val="56"/>
          <w:szCs w:val="5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56"/>
          <w:szCs w:val="56"/>
        </w:rPr>
      </w:pPr>
      <w:r>
        <w:rPr>
          <w:rFonts w:ascii="Times New Roman" w:hAnsi="Times New Roman" w:eastAsia="Times New Roman" w:cs="Times New Roman"/>
          <w:b/>
          <w:sz w:val="56"/>
          <w:szCs w:val="56"/>
        </w:rPr>
      </w:r>
      <w:r>
        <w:rPr>
          <w:rFonts w:ascii="Times New Roman" w:hAnsi="Times New Roman" w:eastAsia="Times New Roman" w:cs="Times New Roman"/>
          <w:b/>
          <w:sz w:val="56"/>
          <w:szCs w:val="56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56"/>
          <w:szCs w:val="56"/>
        </w:rPr>
      </w:pPr>
      <w:r>
        <w:rPr>
          <w:rFonts w:ascii="Times New Roman" w:hAnsi="Times New Roman" w:eastAsia="Times New Roman" w:cs="Times New Roman"/>
          <w:b/>
          <w:sz w:val="56"/>
          <w:szCs w:val="56"/>
        </w:rPr>
      </w:r>
      <w:r>
        <w:rPr>
          <w:rFonts w:ascii="Times New Roman" w:hAnsi="Times New Roman" w:eastAsia="Times New Roman" w:cs="Times New Roman"/>
          <w:b/>
          <w:sz w:val="56"/>
          <w:szCs w:val="5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48"/>
          <w:szCs w:val="48"/>
        </w:rPr>
      </w:pPr>
      <w:r>
        <w:rPr>
          <w:rFonts w:ascii="Times New Roman" w:hAnsi="Times New Roman" w:eastAsia="Times New Roman" w:cs="Times New Roman"/>
          <w:b/>
          <w:sz w:val="48"/>
          <w:szCs w:val="48"/>
        </w:rPr>
        <w:t xml:space="preserve">Интегрированное занятие внеурочной деятельности по физике и биологии   </w:t>
      </w:r>
      <w:r>
        <w:rPr>
          <w:rFonts w:ascii="Times New Roman" w:hAnsi="Times New Roman" w:eastAsia="Times New Roman" w:cs="Times New Roman"/>
          <w:b/>
          <w:sz w:val="48"/>
          <w:szCs w:val="4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56"/>
          <w:szCs w:val="56"/>
        </w:rPr>
      </w:pPr>
      <w:r>
        <w:rPr>
          <w:rFonts w:ascii="Times New Roman" w:hAnsi="Times New Roman" w:eastAsia="Times New Roman" w:cs="Times New Roman"/>
          <w:b/>
          <w:sz w:val="56"/>
          <w:szCs w:val="56"/>
        </w:rPr>
      </w:r>
      <w:r>
        <w:rPr>
          <w:rFonts w:ascii="Times New Roman" w:hAnsi="Times New Roman" w:eastAsia="Times New Roman" w:cs="Times New Roman"/>
          <w:b/>
          <w:sz w:val="56"/>
          <w:szCs w:val="5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52"/>
          <w:szCs w:val="52"/>
        </w:rPr>
      </w:pP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«</w:t>
      </w: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Использование возможностей оборудования центра «Точка </w:t>
      </w: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р</w:t>
      </w: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оста»</w:t>
      </w: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eastAsia="Times New Roman" w:cs="Times New Roman"/>
          <w:b/>
          <w:sz w:val="52"/>
          <w:szCs w:val="52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                                  учитель биологии Закирова Г.Р.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                              учитель физики Сабитова Г.З.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3810</wp:posOffset>
                </wp:positionV>
                <wp:extent cx="3448050" cy="3028950"/>
                <wp:effectExtent l="0" t="0" r="0" b="0"/>
                <wp:wrapTight wrapText="bothSides">
                  <wp:wrapPolygon edited="1">
                    <wp:start x="0" y="0"/>
                    <wp:lineTo x="0" y="21464"/>
                    <wp:lineTo x="21481" y="21464"/>
                    <wp:lineTo x="21481" y="0"/>
                    <wp:lineTo x="0" y="0"/>
                  </wp:wrapPolygon>
                </wp:wrapTight>
                <wp:docPr id="1" name="image2.png" descr="uychenaya-sova-kartinki-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66950" name="image2.png" descr="uychenaya-sova-kartinki-4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448050" cy="3028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8240;o:allowoverlap:true;o:allowincell:true;mso-position-horizontal-relative:text;margin-left:78.75pt;mso-position-horizontal:absolute;mso-position-vertical-relative:text;margin-top:0.30pt;mso-position-vertical:absolute;width:271.50pt;height:238.50pt;mso-wrap-distance-left:9.00pt;mso-wrap-distance-top:0.00pt;mso-wrap-distance-right:9.00pt;mso-wrap-distance-bottom:0.00pt;z-index:1;" wrapcoords="0 0 0 99370 99449 99370 99449 0 0 0">
                <w10:wrap type="tight"/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pBdr/>
        <w:tabs>
          <w:tab w:val="left" w:leader="none" w:pos="720"/>
        </w:tabs>
        <w:spacing w:after="0" w:line="240" w:lineRule="auto"/>
        <w:ind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Цели и задачи: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1)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ормировать познавательный интерес к физике и биологии;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2) формирование исследовательских навыков, в том числе с использованием оборудования «Точки Роста» через внеурочную деятельность по предмету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3) развивать познавательный интерес учащихся; интеллектуальные и творческие способности; умение использовать знан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ия в  практической деятельности; развивать коммуникативные способности  и умения работать в группе.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определить зависимости остывания воды от разной температуры воды и окружающей среды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Ознакомление учащихся, по материалам информаций, с общей хаpaктеристикой меда, биологическим составом меда, его видами, способом хранения, получения, применением мед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и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зучить литературу по проблеме положительного влияния мёда на здоровье  человека, а также способов фальсификации мёда.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6) провести исследование значения рН  в овощах и фруктах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7) установить экспер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ментальным путем проходимость электрического тока в овощах и фруктах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Планируемые результаты: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firstLine="9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Предметные: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применение знаний по физике и биологии к различным профессиям, формирование навыков работы с лабораторным оборудованием во внеурочное время.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firstLine="9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Метапредметные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firstLine="9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Регулятивные: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постановка цели и определе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ние задач, планирование исследовательской деятельности, умение выбирать средства для организации своей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firstLine="9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Коммуникативные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умение слушать и вступать в диалог, участвовать в коллективном обсуждении проблемы, строить продуктивное взаимодействие и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отрудничество со сверстниками.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firstLine="9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Познавательные: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поиск и выделение информации, создание способов решения проблем исследовательского характера.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firstLine="9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Личностные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мотивация к деятельности,  развитие критического мышления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</w:r>
      <w:r>
        <w:rPr>
          <w:rFonts w:ascii="Times New Roman" w:hAnsi="Times New Roman" w:cs="Times New Roman"/>
          <w:sz w:val="24"/>
          <w:szCs w:val="24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1.Вводное слово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tt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Добрый день. Сегодня хотим вам представить совместное занятие по физике и биологии с использованием цифровой лаборатории центра “Точка роста”. Выясним из каких фруктов и овощей можно получить электрический ток, и в каких фруктах кислотно-щелочной баланс 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ходиться в пределах нормы. Определим показатели качества меда. И исследуем скорость остывания воды в различных сосудах.</w:t>
      </w:r>
      <w:r>
        <w:rPr>
          <w:rFonts w:ascii="Times New Roman" w:hAnsi="Times New Roman" w:cs="Times New Roman"/>
          <w:sz w:val="24"/>
          <w:szCs w:val="24"/>
          <w:lang w:val="tt-RU"/>
        </w:rPr>
      </w:r>
    </w:p>
    <w:p>
      <w:pPr>
        <w:pBdr/>
        <w:tabs>
          <w:tab w:val="left" w:leader="none" w:pos="7335"/>
        </w:tabs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Мастер-класс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“Питание как фактор здоров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ья» 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«Требования к меду»</w:t>
      </w:r>
      <w:r>
        <w:rPr>
          <w:rFonts w:ascii="Times New Roman" w:hAnsi="Times New Roman" w:cs="Times New Roman"/>
          <w:sz w:val="24"/>
          <w:szCs w:val="24"/>
        </w:rPr>
        <w:t xml:space="preserve"> (ученик)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Натуральный мёд является не то</w:t>
      </w:r>
      <w:r>
        <w:rPr>
          <w:rFonts w:ascii="Times New Roman" w:hAnsi="Times New Roman" w:cs="Times New Roman"/>
          <w:sz w:val="24"/>
          <w:szCs w:val="24"/>
        </w:rPr>
        <w:t xml:space="preserve">лько ценным продуктом питания, но и обладает ярко выраженными лечебно-диетическими и профилактическими свойствами. Однако получение натурального пчелиного мёда связано со значительными материальными затратами. Высокие цены на натуральный мёд делают его объ</w:t>
      </w:r>
      <w:r>
        <w:rPr>
          <w:rFonts w:ascii="Times New Roman" w:hAnsi="Times New Roman" w:cs="Times New Roman"/>
          <w:sz w:val="24"/>
          <w:szCs w:val="24"/>
        </w:rPr>
        <w:t xml:space="preserve">ектом фальсификации (подделки). Поэтому определение качества мёда является очень актуальным.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Мёд уникален как медикамент, успешно выдерживавший тысячелетние испытания на безвредность.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 лечебной целью он использовался во все време</w:t>
      </w:r>
      <w:r>
        <w:rPr>
          <w:rFonts w:ascii="Times New Roman" w:hAnsi="Times New Roman" w:cs="Times New Roman"/>
          <w:sz w:val="24"/>
          <w:szCs w:val="24"/>
        </w:rPr>
        <w:t xml:space="preserve">на и всеми народами.       Египетские папирусы, написанные более 3 тысяч лет назад, свидетельствуют, что уже тогда он широко применялся для лечения и профилактики самых различных заболеваний.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Химический состав мёда зависит от вида медоносных р</w:t>
      </w:r>
      <w:r>
        <w:rPr>
          <w:rFonts w:ascii="Times New Roman" w:hAnsi="Times New Roman" w:cs="Times New Roman"/>
          <w:sz w:val="24"/>
          <w:szCs w:val="24"/>
        </w:rPr>
        <w:t xml:space="preserve">астений, климатических условий, в которых эти растения произрастают, и способа товарной обработке мёда.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Цветочный мёд содержит в среднем: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      воды – 13-20 %;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      углеводов (в основном глюкоза и фруктозы) – свыше 80 %;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      белков – 0,4 %.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</w:t>
      </w:r>
      <w:r>
        <w:rPr>
          <w:rFonts w:ascii="Times New Roman" w:hAnsi="Times New Roman" w:cs="Times New Roman"/>
          <w:sz w:val="24"/>
          <w:szCs w:val="24"/>
        </w:rPr>
        <w:t xml:space="preserve"> состав мёда входят минеральные, ароматические и красящие вещества, витамины В1, В6, С, РР и др., а также органические кислоты и ферменты.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мёде определяются более 300 веществ, 30 микроэлементов. Мёд  как источник микроэлементов представляет особую ц</w:t>
      </w:r>
      <w:r>
        <w:rPr>
          <w:rFonts w:ascii="Times New Roman" w:hAnsi="Times New Roman" w:cs="Times New Roman"/>
          <w:sz w:val="24"/>
          <w:szCs w:val="24"/>
        </w:rPr>
        <w:t xml:space="preserve">енность, ведь они играют  чрезвычайно важную роль в вашем организме.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Роль витаминов и микроэлементов чрезвычайно важна также в профилактике преждевременного старения и возрастных заболеваний.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природе нет лучшего средства, способного доставить нам оптимальное количество микроэлементов, чем мёд.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Мед имеет довольно резкий вкус (за исключением липового) и может раздражать слизистую оболочку горла и желудка. Поэтому лучше принимать его в </w:t>
      </w:r>
      <w:r>
        <w:rPr>
          <w:rFonts w:ascii="Times New Roman" w:hAnsi="Times New Roman" w:cs="Times New Roman"/>
          <w:sz w:val="24"/>
          <w:szCs w:val="24"/>
        </w:rPr>
        <w:t xml:space="preserve">виде раствора.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Требования к качеству мёда, хранение.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Зрелый натуральный цветочный мёд обладает способностью сохраняться очень долго, существенно не изменяя своего качества. Это объясняется тем, что в нем содержатся вещества,</w:t>
      </w:r>
      <w:r>
        <w:rPr>
          <w:rFonts w:ascii="Times New Roman" w:hAnsi="Times New Roman" w:cs="Times New Roman"/>
          <w:sz w:val="24"/>
          <w:szCs w:val="24"/>
        </w:rPr>
        <w:t xml:space="preserve"> которые оказывают неблагоприятное действие на различные микробы. Однако мёд содержит особый вид осмовильных дрожжей, обладающих способностью сбраживать высокие концентрации (до 80 %) раствора сахара. При наличии благоприятных условий для развития этих дро</w:t>
      </w:r>
      <w:r>
        <w:rPr>
          <w:rFonts w:ascii="Times New Roman" w:hAnsi="Times New Roman" w:cs="Times New Roman"/>
          <w:sz w:val="24"/>
          <w:szCs w:val="24"/>
        </w:rPr>
        <w:t xml:space="preserve">жжей происходит закисание продукта.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Зрелый мёд, содержащий 17-18 % воды, как правило, не закисает. Повышение  водности свыше 20 % вызывает его закисание. На этот процесс большое влияние  оказывает температура. При 11-19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 мёд закисает быстро. Повы</w:t>
      </w:r>
      <w:r>
        <w:rPr>
          <w:rFonts w:ascii="Times New Roman" w:hAnsi="Times New Roman" w:cs="Times New Roman"/>
          <w:sz w:val="24"/>
          <w:szCs w:val="24"/>
        </w:rPr>
        <w:t xml:space="preserve">шение и понижение этой температуры замедляет процесс закисания. При более низкой температуре даже незрелый мёд не закисает.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 хранении мёда необходимо учитывать тот фактор, что этот продукт обладает способностью поглощать влагу и посторонние запахи. О</w:t>
      </w:r>
      <w:r>
        <w:rPr>
          <w:rFonts w:ascii="Times New Roman" w:hAnsi="Times New Roman" w:cs="Times New Roman"/>
          <w:sz w:val="24"/>
          <w:szCs w:val="24"/>
        </w:rPr>
        <w:t xml:space="preserve">тносительная влажность в помещении, где хранится мёд, должна быть в пределах 60 % и не выше 80 %. В сыром помещении даже зрелый мёд будет поглощать влагу из воздуха и закисать. Лучше всего мёд хранится при температуре от 0 до 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Хранить мёд рекоменд</w:t>
      </w:r>
      <w:r>
        <w:rPr>
          <w:rFonts w:ascii="Times New Roman" w:hAnsi="Times New Roman" w:cs="Times New Roman"/>
          <w:sz w:val="24"/>
          <w:szCs w:val="24"/>
        </w:rPr>
        <w:t xml:space="preserve">уется в стеклянной, глиняной, эмалированной и деревянной таре.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исследования мы взяли 5 видов меда из разных хозяйств и номеровали. 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6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Глаза помогают нам определить цвет, чистоту, однородность меда и возможные дефекты кристаллизации.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Цветочный мед </w:t>
      </w:r>
      <w:r>
        <w:rPr>
          <w:rFonts w:ascii="Times New Roman" w:hAnsi="Times New Roman" w:cs="Times New Roman"/>
          <w:bCs/>
          <w:sz w:val="24"/>
          <w:szCs w:val="24"/>
        </w:rPr>
        <w:t xml:space="preserve">бывает от светлого  до темного цвета.  К лучшим сортам относят мёд, имеющий светлую окраску. Такой мед  под номерами  №,,,,,,,,,,,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Натуральный пчелиный мёд сохраняется, как правило, в жидком, сиропообразном состоянии до сентября – ноября, а затем нач</w:t>
      </w:r>
      <w:r>
        <w:rPr>
          <w:rFonts w:ascii="Times New Roman" w:hAnsi="Times New Roman" w:cs="Times New Roman"/>
          <w:bCs/>
          <w:sz w:val="24"/>
          <w:szCs w:val="24"/>
        </w:rPr>
        <w:t xml:space="preserve">инает кристаллизироваться. Мёд, начавший кристаллизироваться, при соответствующих условиях хранения закисает быстрее, чем сиропообразный. 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Прогретый мёд темнеет, изменяется его вкус, аромат и частично разрушаются биологически активные вещества.  Мед под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___ жидкий – вывод прогретый.   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Вкус мёда может служить объективным показателем при браковке мёда. В соответствии со стандартом он должен быть сладким, приятным на вкус, бес посторонних привкусов. Все меды на вкус приятные.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Бывает, что мёд при хр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анении образует снизу и сверху – сиропообразную жидкость. Это  указывает на то, что мёд не зрелый и содержит повышенное количество воды. У меда под № ___ с верху образовалась жидкость. Мед не зрелый.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На этой тарелке  5</w:t>
      </w:r>
      <w:r>
        <w:rPr>
          <w:rFonts w:ascii="Times New Roman" w:hAnsi="Times New Roman" w:cs="Times New Roman"/>
          <w:bCs/>
          <w:sz w:val="24"/>
          <w:szCs w:val="24"/>
        </w:rPr>
        <w:t xml:space="preserve"> видов меда и мы капнули йод на мед и видим, что цвет йода не поменялся , если хозяин добавил бы для загустения крахмал  , то раствор окрасился бы в синий цвет.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С помощью химического карандаша можно вычислить мед разбавленный водой. Такой реакции у нас  н</w:t>
      </w:r>
      <w:r>
        <w:rPr>
          <w:rFonts w:ascii="Times New Roman" w:hAnsi="Times New Roman" w:cs="Times New Roman"/>
          <w:bCs/>
          <w:sz w:val="24"/>
          <w:szCs w:val="24"/>
        </w:rPr>
        <w:t xml:space="preserve">е наблюдается.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Излишков влаги можно выявить и с помощью бумаги. Натуральный мед не оставит следов на бумаге.  Мы это видим. Бумага чистая.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Таких методов для определения достаточно много. А вот некоторые  качества можно определить только в условиях лабора</w:t>
      </w:r>
      <w:r>
        <w:rPr>
          <w:rFonts w:ascii="Times New Roman" w:hAnsi="Times New Roman" w:cs="Times New Roman"/>
          <w:bCs/>
          <w:sz w:val="24"/>
          <w:szCs w:val="24"/>
        </w:rPr>
        <w:t xml:space="preserve">тории.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-Проверка меда микроскопом. 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Через микроскопом мы видим пыльца, кристаллы. В искусственном меде пыльцевых зерен нет. И видим что инородных предметов нет.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Теперь определим среду с помощью датчика  РН.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Азалия рассказывает про РН.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 определя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ют РН меда.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Выводы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Данная научно-исследовательская работа имеет большое значение для определения качества продуктов питания, что помогает нам в выборе качественного меда.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Мы выяснили, что свежий мед представляет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собой густую прозрачную полужидкую массу, начинающую с течением времени постепенно кристаллизовываться.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Кристаллизация меда указывает на его доброкачественность.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В нашей работе мы определяли </w:t>
      </w:r>
      <w:r>
        <w:rPr>
          <w:rFonts w:ascii="Times New Roman" w:hAnsi="Times New Roman" w:cs="Times New Roman"/>
          <w:bCs/>
          <w:sz w:val="24"/>
          <w:szCs w:val="24"/>
        </w:rPr>
        <w:t xml:space="preserve">что образцы под №     соответствуют требованиям, но мед под № после 10 месяцев остался жидким, значить прогретый, соответственно мед потерял полезные  качества  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Слова </w:t>
      </w:r>
      <w:r>
        <w:rPr>
          <w:rFonts w:ascii="Times New Roman" w:hAnsi="Times New Roman" w:cs="Times New Roman"/>
          <w:sz w:val="24"/>
          <w:szCs w:val="24"/>
        </w:rPr>
        <w:t xml:space="preserve">учителя биологии </w:t>
      </w:r>
      <w:r>
        <w:rPr>
          <w:rFonts w:ascii="Times New Roman" w:hAnsi="Times New Roman" w:cs="Times New Roman"/>
          <w:sz w:val="24"/>
          <w:szCs w:val="24"/>
        </w:rPr>
        <w:t xml:space="preserve">о фруктах.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Девочки определяют Рн фруктов  (лимон, апельсин, яблок</w:t>
      </w:r>
      <w:r>
        <w:rPr>
          <w:rFonts w:ascii="Times New Roman" w:hAnsi="Times New Roman" w:cs="Times New Roman"/>
          <w:sz w:val="24"/>
          <w:szCs w:val="24"/>
        </w:rPr>
        <w:t xml:space="preserve">о) и записывают на доске. </w:t>
      </w:r>
      <w:r>
        <w:rPr>
          <w:rFonts w:ascii="Times New Roman" w:hAnsi="Times New Roman" w:cs="Times New Roman"/>
          <w:bCs/>
          <w:sz w:val="24"/>
          <w:szCs w:val="24"/>
        </w:rPr>
        <w:t xml:space="preserve">Вывод : лимон имеет кислую среду……Эти фрукты показали кислую среду, значит употреблять надо в пищу в умеренном количестве.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Мастер-класс «Получение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электрического тока из фруктов и овощей.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Какие исследования можно провести с овощами и фрук</w:t>
      </w:r>
      <w:r>
        <w:rPr>
          <w:rFonts w:ascii="Times New Roman" w:hAnsi="Times New Roman" w:cs="Times New Roman"/>
          <w:bCs/>
          <w:sz w:val="24"/>
          <w:szCs w:val="24"/>
        </w:rPr>
        <w:t xml:space="preserve">тами? Оказывается,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фрукты и овощи являются источником электрического тока и из них можно сделать батарейку.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Что такое электрический ток?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Электрический ток — это движение электрически заряженных частиц.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Давайте вспомним из чего состоит гальванический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элемент? Т.е. батарейка.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ученик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Любая батарейка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это ничто иное, как  две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металлические пластины, помещённые  в специальное химическое вещество – электролит. Одна пластина  подключена к  выводу « + », а другая к выводу « - ». В электролите  протекает реакция, в ходе которой  выделяется энергия  в виде электрического тока. Батар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ейки бывают разнообразной формы и размеров. Но все они работают по одному принципу. В них создаётся электрический заряд в результате реакции между двумя химическими веществами, в ходе которой электроны передаются от одного из них другому.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Как мы уже выяс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нили фруктовый и овощной сок по своему составу представляет собой слабую кислоту, поэтому если вставить во фрукт или овощ 2 электрода: один медный - другой цинковый, то между электродами потечёт слабый ток.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Эксперимент по созданию батареек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создания бат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арейки нам понадобились следующие материалы: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pBdr/>
        <w:shd w:val="clear" w:color="auto" w:fill="ffffff"/>
        <w:spacing w:after="0" w:line="360" w:lineRule="auto"/>
        <w:ind/>
        <w:contextualSpacing w:val="true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цинковые пластины (можно металлические гвозди),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numPr>
          <w:ilvl w:val="0"/>
          <w:numId w:val="3"/>
        </w:numPr>
        <w:pBdr/>
        <w:shd w:val="clear" w:color="auto" w:fill="ffffff"/>
        <w:spacing w:after="0" w:line="360" w:lineRule="auto"/>
        <w:ind/>
        <w:contextualSpacing w:val="true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медная проволока,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numPr>
          <w:ilvl w:val="0"/>
          <w:numId w:val="3"/>
        </w:numPr>
        <w:pBdr/>
        <w:shd w:val="clear" w:color="auto" w:fill="ffffff"/>
        <w:spacing w:after="0" w:line="360" w:lineRule="auto"/>
        <w:ind/>
        <w:contextualSpacing w:val="true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фрукты и овощи,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numPr>
          <w:ilvl w:val="0"/>
          <w:numId w:val="3"/>
        </w:numPr>
        <w:pBdr/>
        <w:shd w:val="clear" w:color="auto" w:fill="ffffff"/>
        <w:spacing w:after="0" w:line="360" w:lineRule="auto"/>
        <w:ind/>
        <w:contextualSpacing w:val="true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мультиметр - </w:t>
      </w:r>
      <w:r>
        <w:rPr>
          <w:rFonts w:ascii="Times New Roman" w:hAnsi="Times New Roman" w:eastAsia="Times New Roman" w:cs="Times New Roman"/>
          <w:i/>
          <w:spacing w:val="-3"/>
          <w:sz w:val="24"/>
          <w:szCs w:val="24"/>
          <w:lang w:eastAsia="ru-RU"/>
        </w:rPr>
        <w:t xml:space="preserve">прибор для измерения силы тока и напряжения.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В самодельном гальваническом элементе цинковая пластина (гв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оздь) действует как отрицательный электрод, а медная проволочка – как положительный. Электролитом (жидкость проводящая ток) является сок фруктов и овощей.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Измеряется напряжение каждого фрукта и овоща. Записывается на доске.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Сделать вывод, какой фрукт или овощ лучше вырабатывает ток.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Вывод: так как лимон имеет кислую среду, поэтому у него электрический ток больше.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 теперь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для увеличения напряжения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попробуем собрать цепь из данных овощей и фруктов для того, чтобы включить светодиодную лампочку.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Шаг 1. Взяли лимон, с одной стороны воткнули оцинкованный гвоздь, с другой – медную проволоку.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Шаг 2. Присоединили к лимону при помощи этой проволоки яблоко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одной стороны, а с другой – воткнули гвоздь.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Шаг 3. Аналогичным образом подсоединили остальные элементы яблоко-апельсин-картофель-яблоко.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Шаг 4. К яблоку с другой стороны добавили медную проволоку.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Шаг 5. Подсоединим светодиодную лампочку и посмотрим, буд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 ли она гореть.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Лампочка загорается 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Выводы: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Фрукты и овощи могут служить источниками тока, если ввести в них медный и цинковый электроды.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2.Экспериментально установлено, что сила тока и напряжение у исследуемых овощей и фруктов не одинаковые.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оанализировав электропроводность установлено, что сырые овощи и фрукты проводят электрический ток,  это связанно с содержанием влаги в сырых продуктах.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Овощи и фрукты можно использовать в качестве батареек с низким потреблением энергии.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Мастер-класс «Остывание воды в сосудах из различного материала»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Учитель физики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А теперь вторая часть работы, где определим с помощью датчика температуры скорость остывания горячей воды в алюминиевом и стеклянном сосудах.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hd w:val="clear" w:color="auto" w:fill="ffffff"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этого нам нужны будут следующие приборы: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r>
    </w:p>
    <w:p>
      <w:pPr>
        <w:pBdr/>
        <w:shd w:val="clear" w:color="auto" w:fill="ffffff"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датчик температуры, щуп для измерения температуры, которые подключ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им к программе Релеон, сосуды из стекла и алюминия, горячая вода.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r>
    </w:p>
    <w:p>
      <w:pPr>
        <w:pBdr/>
        <w:spacing w:after="300" w:afterAutospacing="1" w:before="100" w:beforeAutospacing="1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Прежде чем приступить к выполнению работы, проведем инструктаж по ТБ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afterAutospacing="1" w:before="100" w:beforeAutospacing="1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Инструктаж по теме:  «ТЕПЛОВЫЕ ЯВЛЕНИЯ»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afterAutospacing="1" w:before="100" w:beforeAutospacing="1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        При выполнении лабораторных работ нельзя пользоваться разбитой стеклянной посудой или посудой с трещинами.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afterAutospacing="1" w:before="100" w:beforeAutospacing="1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        Осколки стекла нельзя собирать со стола руками. Для этого нужно использовать щетку с совком.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Скорость остывания равна отношению 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азности температур в начальном и конечном состояниях, к промежутку времени, за который произошло это изменение температуры: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6775" cy="447675"/>
                <wp:effectExtent l="0" t="0" r="9525" b="9525"/>
                <wp:docPr id="2" name="Рисунок 2" descr="https://fsd.videouroki.net/products/conspekty/fizikaoglb/34-issledovanie-izmeneniya-temperatury-vody-pri-razlichnyh-usloviyah-241.files/image0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fsd.videouroki.net/products/conspekty/fizikaoglb/34-issledovanie-izmeneniya-temperatury-vody-pri-razlichnyh-usloviyah-241.files/image00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667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68.25pt;height:35.25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Ход работы: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1.подсоединить датчики к компьютеру,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2.налить в сосуды горячую воду.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3.Опустить щуп, подождать пока щуп примет темп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ературу воды.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4.Зафиксировать начальную температуру, конечную температуру, время. Записать в таблицу.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таблица 1 – Зависимость скорости остывания воды от вида сосуда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tbl>
      <w:tblPr>
        <w:tblW w:w="9570" w:type="dxa"/>
        <w:tblBorders/>
        <w:shd w:val="clear" w:color="auto" w:fill="ffffff"/>
        <w:tblCellMar>
          <w:left w:w="105" w:type="dxa"/>
          <w:top w:w="105" w:type="dxa"/>
          <w:right w:w="105" w:type="dxa"/>
          <w:bottom w:w="105" w:type="dxa"/>
        </w:tblCellMar>
        <w:tblLook w:val="04A0" w:firstRow="1" w:lastRow="0" w:firstColumn="1" w:lastColumn="0" w:noHBand="0" w:noVBand="1"/>
      </w:tblPr>
      <w:tblGrid>
        <w:gridCol w:w="1750"/>
        <w:gridCol w:w="1816"/>
        <w:gridCol w:w="1764"/>
        <w:gridCol w:w="1480"/>
        <w:gridCol w:w="1380"/>
        <w:gridCol w:w="1380"/>
      </w:tblGrid>
      <w:tr>
        <w:trPr/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574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температура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808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Минимальная температура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min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515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Разница температур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∆t,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10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Время остывания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t,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10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скорость остывания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ср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C/c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574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Стеклянный сосуд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808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515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10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10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574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Алюминиевый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сосуд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808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515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10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10" w:type="dxa"/>
            <w:textDirection w:val="lrTb"/>
            <w:noWrap w:val="false"/>
          </w:tcPr>
          <w:p>
            <w:pPr>
              <w:pBdr/>
              <w:spacing w:after="15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Bdr/>
        <w:shd w:val="clear" w:color="auto" w:fill="ffffff"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Итак, в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выводе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мы напишем, что при одинаковых условиях скорость остывания воды в ____________ сосуде больше, чем скорость остывания воды в _____________сосуде . При этом чем больше разность температуры воды и окружающей среды, тем скорость остывания воды выше.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</w:r>
    </w:p>
    <w:p>
      <w:pPr>
        <w:pBdr/>
        <w:spacing w:after="300" w:line="240" w:lineRule="auto"/>
        <w:ind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Алюминиевый стакан прогревается быстрее, это происходит потому, что теплопроводность алюминия выше, чем теплопроводность стекла.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Заключение: Предметы естественно-научного цикла связаны друг с другом и исследуя мы видим, то что видели все и думаем так, как не думает никто.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Мастер-класс «Основы робототехники. Навыки робота»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Робототехника в школе – это отличный способ для подготовки детей к современной жизни, наполненной высокими техно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логиями. Ее знание открывает перед подрастающим поколением массу возможностей и делает дальнейшее развитие технологий более стремительным.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данный момент идет активное внедрение учебных роботов  в образовательный процесс школ, а именно внедрение Lego- конструктора. Одним из таких  конструкторов является  Lego Education.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Дадим слово детям.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  <w:t xml:space="preserve">«Следование по линии»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Программирование датчика цвета Лего Спайк прайм для следования по линии. Чтобы двигаться по линии, нам понадобится запрограммировать датчик цвета. Его можно использовать в режиме распознавания цвета.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br/>
        <w:t xml:space="preserve">В программе используется блок «начать движение с разной скоростью одновременно для двух колёс. Это позволит роботу двигать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ся по непрямой кривой извилистой линии, не сходя с чёрной линии. Этот блок находится в дополнительных блоках движения.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  <w:t xml:space="preserve">Демонстрация движения робота по черной линии.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36"/>
        <w:ind w:right="0" w:firstLine="0" w:left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Другой набор конструктора для старших классов.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36"/>
        <w:ind w:right="0" w:firstLine="0"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 “Конструктор программируемых моделей инженерных систем. Экспертный набор” - это Уникальный образовательный комплект, который позволяет учащимся овладеть навыками и основами электротехники, электромеханики, микропроцессорной технике, кибернетических и встр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аиваемых систем. Благодаря правильно построенным учебным занятиям, учащийся закрепит полученные навыки на практике, что позволит более лучшему усвоению знаний в сфере робототехники и современных технологий.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36"/>
        <w:ind w:right="0" w:firstLine="0"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Данный образовательный комплект “КПМИС.Экспертный набор” предназначен для разработки программируемых моделей адаптивных мехатронных систем, с большим числом приводов, мобильных и манипуляционных роботов, которые разрабатываются на основе многофункционально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 робототехнического контроллера “Arduino”.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36"/>
        <w:ind w:right="0" w:firstLine="0"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 Благодаря обширному составу комплекта, появляется большая вариативность по разработке. Набор электронных компонентов, позволит изучить основы электроники и схемотехники. А комплект приводов и датчиков различного типа, позволит разрабатывать мобильные и ма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нипуляционные комплексы, а главное с распознаванием заранее заданных графических объектов, которое осуществляет модуль технического зрения, входящий в состав комплекта. Важным параметром комплекта является то, что абсолютно все комплектующие и устройства 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бладают конструктивной, электрической, аппаратной и программной совместимостью друг с другом.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1_803"/>
        <w:pBdr/>
        <w:spacing w:before="4"/>
        <w:ind w:right="131" w:hanging="214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Сейчас мы и займемся программированием нашего робота при помощи задания внутренних команд.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Программирование робота.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Демонстрация работы робот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ов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-83090</wp:posOffset>
                </wp:positionV>
                <wp:extent cx="2940390" cy="2205292"/>
                <wp:effectExtent l="0" t="0" r="0" b="0"/>
                <wp:wrapSquare wrapText="bothSides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29513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940389" cy="22052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5120;o:allowoverlap:true;o:allowincell:true;mso-position-horizontal-relative:text;margin-left:-34.50pt;mso-position-horizontal:absolute;mso-position-vertical-relative:text;margin-top:-6.54pt;mso-position-vertical:absolute;width:231.53pt;height:173.65pt;mso-wrap-distance-left:9.07pt;mso-wrap-distance-top:0.00pt;mso-wrap-distance-right:9.07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2965702</wp:posOffset>
                </wp:positionH>
                <wp:positionV relativeFrom="paragraph">
                  <wp:posOffset>-83090</wp:posOffset>
                </wp:positionV>
                <wp:extent cx="2940390" cy="2205292"/>
                <wp:effectExtent l="0" t="0" r="0" b="0"/>
                <wp:wrapSquare wrapText="bothSides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1121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940390" cy="22052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6144;o:allowoverlap:true;o:allowincell:true;mso-position-horizontal-relative:text;margin-left:233.52pt;mso-position-horizontal:absolute;mso-position-vertical-relative:text;margin-top:-6.54pt;mso-position-vertical:absolute;width:231.53pt;height:173.65pt;mso-wrap-distance-left:9.07pt;mso-wrap-distance-top:0.00pt;mso-wrap-distance-right:9.07pt;mso-wrap-distance-bottom:0.00pt;z-index:1;" stroked="false">
                <w10:wrap type="square"/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/>
      <w:r/>
      <w:r/>
      <w:r/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216" behindDoc="0" locked="0" layoutInCell="1" allowOverlap="1">
                <wp:simplePos x="0" y="0"/>
                <wp:positionH relativeFrom="column">
                  <wp:posOffset>2965702</wp:posOffset>
                </wp:positionH>
                <wp:positionV relativeFrom="paragraph">
                  <wp:posOffset>46634</wp:posOffset>
                </wp:positionV>
                <wp:extent cx="2992676" cy="2244507"/>
                <wp:effectExtent l="0" t="0" r="0" b="0"/>
                <wp:wrapSquare wrapText="bothSides"/>
                <wp:docPr id="5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22482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992675" cy="2244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9216;o:allowoverlap:true;o:allowincell:true;mso-position-horizontal-relative:text;margin-left:233.52pt;mso-position-horizontal:absolute;mso-position-vertical-relative:text;margin-top:3.67pt;mso-position-vertical:absolute;width:235.64pt;height:176.73pt;mso-wrap-distance-left:9.07pt;mso-wrap-distance-top:0.00pt;mso-wrap-distance-right:9.07pt;mso-wrap-distance-bottom:0.00pt;z-index:1;" stroked="false">
                <w10:wrap type="square"/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192" behindDoc="0" locked="0" layoutInCell="1" allowOverlap="1">
                <wp:simplePos x="0" y="0"/>
                <wp:positionH relativeFrom="column">
                  <wp:posOffset>-468512</wp:posOffset>
                </wp:positionH>
                <wp:positionV relativeFrom="paragraph">
                  <wp:posOffset>46634</wp:posOffset>
                </wp:positionV>
                <wp:extent cx="2970752" cy="2228064"/>
                <wp:effectExtent l="0" t="0" r="0" b="0"/>
                <wp:wrapSquare wrapText="bothSides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46614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970750" cy="22280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8192;o:allowoverlap:true;o:allowincell:true;mso-position-horizontal-relative:text;margin-left:-36.89pt;mso-position-horizontal:absolute;mso-position-vertical-relative:text;margin-top:3.67pt;mso-position-vertical:absolute;width:233.92pt;height:175.44pt;mso-wrap-distance-left:9.07pt;mso-wrap-distance-top:0.00pt;mso-wrap-distance-right:9.07pt;mso-wrap-distance-bottom:0.00pt;z-index:1;" stroked="false">
                <w10:wrap type="square"/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0240" behindDoc="0" locked="0" layoutInCell="1" allowOverlap="1">
                <wp:simplePos x="0" y="0"/>
                <wp:positionH relativeFrom="column">
                  <wp:posOffset>-365982</wp:posOffset>
                </wp:positionH>
                <wp:positionV relativeFrom="paragraph">
                  <wp:posOffset>-188377</wp:posOffset>
                </wp:positionV>
                <wp:extent cx="2997756" cy="2248317"/>
                <wp:effectExtent l="0" t="0" r="0" b="0"/>
                <wp:wrapSquare wrapText="bothSides"/>
                <wp:docPr id="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7257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997756" cy="2248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10240;o:allowoverlap:true;o:allowincell:true;mso-position-horizontal-relative:text;margin-left:-28.82pt;mso-position-horizontal:absolute;mso-position-vertical-relative:text;margin-top:-14.83pt;mso-position-vertical:absolute;width:236.04pt;height:177.03pt;mso-wrap-distance-left:9.07pt;mso-wrap-distance-top:0.00pt;mso-wrap-distance-right:9.07pt;mso-wrap-distance-bottom:0.00pt;z-index:1;" stroked="false">
                <w10:wrap type="square"/>
                <v:imagedata r:id="rId15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1264" behindDoc="0" locked="0" layoutInCell="1" allowOverlap="1">
                <wp:simplePos x="0" y="0"/>
                <wp:positionH relativeFrom="column">
                  <wp:posOffset>3507296</wp:posOffset>
                </wp:positionH>
                <wp:positionV relativeFrom="paragraph">
                  <wp:posOffset>-114798</wp:posOffset>
                </wp:positionV>
                <wp:extent cx="2257251" cy="2336663"/>
                <wp:effectExtent l="0" t="0" r="0" b="0"/>
                <wp:wrapSquare wrapText="bothSides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35962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0" t="616" r="0" b="21745"/>
                        <a:stretch/>
                      </pic:blipFill>
                      <pic:spPr bwMode="auto">
                        <a:xfrm>
                          <a:off x="0" y="0"/>
                          <a:ext cx="2257250" cy="23366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11264;o:allowoverlap:true;o:allowincell:true;mso-position-horizontal-relative:text;margin-left:276.17pt;mso-position-horizontal:absolute;mso-position-vertical-relative:text;margin-top:-9.04pt;mso-position-vertical:absolute;width:177.74pt;height:183.99pt;mso-wrap-distance-left:9.07pt;mso-wrap-distance-top:0.00pt;mso-wrap-distance-right:9.07pt;mso-wrap-distance-bottom:0.00pt;z-index:1;" stroked="false">
                <w10:wrap type="square"/>
                <v:imagedata r:id="rId16" o:title="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108672</wp:posOffset>
                </wp:positionV>
                <wp:extent cx="5197815" cy="7284218"/>
                <wp:effectExtent l="6350" t="6350" r="6350" b="635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0242866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flipH="0" flipV="0">
                          <a:off x="0" y="0"/>
                          <a:ext cx="5197815" cy="7284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-251659264;o:allowoverlap:true;o:allowincell:true;mso-position-horizontal-relative:text;margin-left:19.50pt;mso-position-horizontal:absolute;mso-position-vertical-relative:text;margin-top:8.56pt;mso-position-vertical:absolute;width:409.28pt;height:573.56pt;mso-wrap-distance-left:9.00pt;mso-wrap-distance-top:0.00pt;mso-wrap-distance-right:9.00pt;mso-wrap-distance-bottom:0.00pt;z-index:1;" wrapcoords="0 0 100000 0 100000 100000 0 100000" stroked="f">
                <w10:wrap type="tight"/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/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/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sectPr>
      <w:footnotePr/>
      <w:endnotePr/>
      <w:type w:val="nextPage"/>
      <w:pgSz w:h="16838" w:orient="landscape" w:w="11906"/>
      <w:pgMar w:top="709" w:right="282" w:bottom="568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rebuchet MS">
    <w:panose1 w:val="020B060302020202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8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00"/>
      </w:pPr>
      <w:rPr/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16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3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30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7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2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9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3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5"/>
    <w:link w:val="66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5"/>
    <w:link w:val="66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675"/>
    <w:link w:val="66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5"/>
    <w:link w:val="66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5"/>
    <w:link w:val="67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5"/>
    <w:link w:val="67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75"/>
    <w:link w:val="67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75"/>
    <w:link w:val="6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75"/>
    <w:link w:val="67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75"/>
    <w:link w:val="688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675"/>
    <w:link w:val="690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692"/>
    <w:uiPriority w:val="29"/>
    <w:pPr>
      <w:pBdr/>
      <w:spacing/>
      <w:ind/>
    </w:pPr>
    <w:rPr>
      <w:i/>
    </w:rPr>
  </w:style>
  <w:style w:type="character" w:styleId="41">
    <w:name w:val="Intense Quote Char"/>
    <w:link w:val="694"/>
    <w:uiPriority w:val="30"/>
    <w:pPr>
      <w:pBdr/>
      <w:spacing/>
      <w:ind/>
    </w:pPr>
    <w:rPr>
      <w:i/>
    </w:rPr>
  </w:style>
  <w:style w:type="character" w:styleId="43">
    <w:name w:val="Header Char"/>
    <w:basedOn w:val="675"/>
    <w:link w:val="696"/>
    <w:uiPriority w:val="99"/>
    <w:pPr>
      <w:pBdr/>
      <w:spacing/>
      <w:ind/>
    </w:pPr>
  </w:style>
  <w:style w:type="character" w:styleId="47">
    <w:name w:val="Caption Char"/>
    <w:basedOn w:val="700"/>
    <w:link w:val="698"/>
    <w:uiPriority w:val="99"/>
    <w:pPr>
      <w:pBdr/>
      <w:spacing/>
      <w:ind/>
    </w:pPr>
  </w:style>
  <w:style w:type="character" w:styleId="176">
    <w:name w:val="Footnote Text Char"/>
    <w:link w:val="829"/>
    <w:uiPriority w:val="99"/>
    <w:pPr>
      <w:pBdr/>
      <w:spacing/>
      <w:ind/>
    </w:pPr>
    <w:rPr>
      <w:sz w:val="18"/>
    </w:rPr>
  </w:style>
  <w:style w:type="character" w:styleId="179">
    <w:name w:val="Endnote Text Char"/>
    <w:link w:val="832"/>
    <w:uiPriority w:val="99"/>
    <w:pPr>
      <w:pBdr/>
      <w:spacing/>
      <w:ind/>
    </w:pPr>
    <w:rPr>
      <w:sz w:val="20"/>
    </w:rPr>
  </w:style>
  <w:style w:type="paragraph" w:styleId="665" w:default="1">
    <w:name w:val="Normal"/>
    <w:qFormat/>
    <w:pPr>
      <w:pBdr/>
      <w:spacing/>
      <w:ind/>
    </w:pPr>
  </w:style>
  <w:style w:type="paragraph" w:styleId="666">
    <w:name w:val="Heading 1"/>
    <w:basedOn w:val="665"/>
    <w:next w:val="665"/>
    <w:link w:val="67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67">
    <w:name w:val="Heading 2"/>
    <w:basedOn w:val="665"/>
    <w:next w:val="665"/>
    <w:link w:val="67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68">
    <w:name w:val="Heading 3"/>
    <w:basedOn w:val="665"/>
    <w:next w:val="665"/>
    <w:link w:val="68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69">
    <w:name w:val="Heading 4"/>
    <w:basedOn w:val="665"/>
    <w:next w:val="665"/>
    <w:link w:val="68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665"/>
    <w:next w:val="665"/>
    <w:link w:val="68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665"/>
    <w:next w:val="665"/>
    <w:link w:val="6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672">
    <w:name w:val="Heading 7"/>
    <w:basedOn w:val="665"/>
    <w:next w:val="665"/>
    <w:link w:val="68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673">
    <w:name w:val="Heading 8"/>
    <w:basedOn w:val="665"/>
    <w:next w:val="665"/>
    <w:link w:val="68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674">
    <w:name w:val="Heading 9"/>
    <w:basedOn w:val="665"/>
    <w:next w:val="665"/>
    <w:link w:val="68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 w:default="1">
    <w:name w:val="Default Paragraph Font"/>
    <w:uiPriority w:val="1"/>
    <w:semiHidden/>
    <w:unhideWhenUsed/>
    <w:pPr>
      <w:pBdr/>
      <w:spacing/>
      <w:ind/>
    </w:pPr>
  </w:style>
  <w:style w:type="table" w:styleId="67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7" w:default="1">
    <w:name w:val="No List"/>
    <w:uiPriority w:val="99"/>
    <w:semiHidden/>
    <w:unhideWhenUsed/>
    <w:pPr>
      <w:pBdr/>
      <w:spacing/>
      <w:ind/>
    </w:pPr>
  </w:style>
  <w:style w:type="character" w:styleId="678" w:customStyle="1">
    <w:name w:val="Заголовок 1 Знак"/>
    <w:basedOn w:val="675"/>
    <w:link w:val="66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79" w:customStyle="1">
    <w:name w:val="Заголовок 2 Знак"/>
    <w:basedOn w:val="675"/>
    <w:link w:val="66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80" w:customStyle="1">
    <w:name w:val="Заголовок 3 Знак"/>
    <w:basedOn w:val="675"/>
    <w:link w:val="66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81" w:customStyle="1">
    <w:name w:val="Заголовок 4 Знак"/>
    <w:basedOn w:val="675"/>
    <w:link w:val="66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82" w:customStyle="1">
    <w:name w:val="Заголовок 5 Знак"/>
    <w:basedOn w:val="675"/>
    <w:link w:val="67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83" w:customStyle="1">
    <w:name w:val="Заголовок 6 Знак"/>
    <w:basedOn w:val="675"/>
    <w:link w:val="67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84" w:customStyle="1">
    <w:name w:val="Заголовок 7 Знак"/>
    <w:basedOn w:val="675"/>
    <w:link w:val="67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 w:customStyle="1">
    <w:name w:val="Заголовок 8 Знак"/>
    <w:basedOn w:val="675"/>
    <w:link w:val="6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86" w:customStyle="1">
    <w:name w:val="Заголовок 9 Знак"/>
    <w:basedOn w:val="675"/>
    <w:link w:val="67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pBdr/>
      <w:spacing w:after="0" w:line="240" w:lineRule="auto"/>
      <w:ind/>
    </w:pPr>
  </w:style>
  <w:style w:type="paragraph" w:styleId="688">
    <w:name w:val="Title"/>
    <w:basedOn w:val="665"/>
    <w:next w:val="665"/>
    <w:link w:val="68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9" w:customStyle="1">
    <w:name w:val="Заголовок Знак"/>
    <w:basedOn w:val="675"/>
    <w:link w:val="688"/>
    <w:uiPriority w:val="10"/>
    <w:pPr>
      <w:pBdr/>
      <w:spacing/>
      <w:ind/>
    </w:pPr>
    <w:rPr>
      <w:sz w:val="48"/>
      <w:szCs w:val="48"/>
    </w:rPr>
  </w:style>
  <w:style w:type="paragraph" w:styleId="690">
    <w:name w:val="Subtitle"/>
    <w:basedOn w:val="665"/>
    <w:next w:val="665"/>
    <w:link w:val="69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91" w:customStyle="1">
    <w:name w:val="Подзаголовок Знак"/>
    <w:basedOn w:val="675"/>
    <w:link w:val="690"/>
    <w:uiPriority w:val="11"/>
    <w:pPr>
      <w:pBdr/>
      <w:spacing/>
      <w:ind/>
    </w:pPr>
    <w:rPr>
      <w:sz w:val="24"/>
      <w:szCs w:val="24"/>
    </w:rPr>
  </w:style>
  <w:style w:type="paragraph" w:styleId="692">
    <w:name w:val="Quote"/>
    <w:basedOn w:val="665"/>
    <w:next w:val="665"/>
    <w:link w:val="693"/>
    <w:uiPriority w:val="29"/>
    <w:qFormat/>
    <w:pPr>
      <w:pBdr/>
      <w:spacing/>
      <w:ind w:right="720" w:left="720"/>
    </w:pPr>
    <w:rPr>
      <w:i/>
    </w:rPr>
  </w:style>
  <w:style w:type="character" w:styleId="693" w:customStyle="1">
    <w:name w:val="Цитата 2 Знак"/>
    <w:link w:val="692"/>
    <w:uiPriority w:val="29"/>
    <w:pPr>
      <w:pBdr/>
      <w:spacing/>
      <w:ind/>
    </w:pPr>
    <w:rPr>
      <w:i/>
    </w:rPr>
  </w:style>
  <w:style w:type="paragraph" w:styleId="694">
    <w:name w:val="Intense Quote"/>
    <w:basedOn w:val="665"/>
    <w:next w:val="665"/>
    <w:link w:val="69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695" w:customStyle="1">
    <w:name w:val="Выделенная цитата Знак"/>
    <w:link w:val="694"/>
    <w:uiPriority w:val="30"/>
    <w:pPr>
      <w:pBdr/>
      <w:spacing/>
      <w:ind/>
    </w:pPr>
    <w:rPr>
      <w:i/>
    </w:rPr>
  </w:style>
  <w:style w:type="paragraph" w:styleId="696">
    <w:name w:val="Header"/>
    <w:basedOn w:val="665"/>
    <w:link w:val="69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7" w:customStyle="1">
    <w:name w:val="Верхний колонтитул Знак"/>
    <w:basedOn w:val="675"/>
    <w:link w:val="696"/>
    <w:uiPriority w:val="99"/>
    <w:pPr>
      <w:pBdr/>
      <w:spacing/>
      <w:ind/>
    </w:pPr>
  </w:style>
  <w:style w:type="paragraph" w:styleId="698">
    <w:name w:val="Footer"/>
    <w:basedOn w:val="665"/>
    <w:link w:val="70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9" w:customStyle="1">
    <w:name w:val="Footer Char"/>
    <w:basedOn w:val="675"/>
    <w:uiPriority w:val="99"/>
    <w:pPr>
      <w:pBdr/>
      <w:spacing/>
      <w:ind/>
    </w:pPr>
  </w:style>
  <w:style w:type="paragraph" w:styleId="700">
    <w:name w:val="Caption"/>
    <w:basedOn w:val="665"/>
    <w:next w:val="66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01" w:customStyle="1">
    <w:name w:val="Нижний колонтитул Знак"/>
    <w:link w:val="698"/>
    <w:uiPriority w:val="99"/>
    <w:pPr>
      <w:pBdr/>
      <w:spacing/>
      <w:ind/>
    </w:pPr>
  </w:style>
  <w:style w:type="table" w:styleId="702">
    <w:name w:val="Table Grid"/>
    <w:basedOn w:val="67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Table Grid Light"/>
    <w:basedOn w:val="67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67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67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4 - Accent 1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4 - Accent 2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4 - Accent 3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4 - Accent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4 - Accent 5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4 - Accent 6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5 Dark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5 Dark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4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4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4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4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4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4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5 Dark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5 Dark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ned - Accent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ned - Accent 1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ned - Accent 2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ned - Accent 3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ned - Accent 4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ned - Accent 5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ned - Accent 6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&amp; Lined - Accent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&amp; Lined - Accent 1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&amp; Lined - Accent 2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&amp; Lined - Accent 3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&amp; Lined - Accent 4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 &amp; Lined - Accent 5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&amp; Lined - Accent 6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8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29">
    <w:name w:val="footnote text"/>
    <w:basedOn w:val="665"/>
    <w:link w:val="83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30" w:customStyle="1">
    <w:name w:val="Текст сноски Знак"/>
    <w:link w:val="829"/>
    <w:uiPriority w:val="99"/>
    <w:pPr>
      <w:pBdr/>
      <w:spacing/>
      <w:ind/>
    </w:pPr>
    <w:rPr>
      <w:sz w:val="18"/>
    </w:rPr>
  </w:style>
  <w:style w:type="character" w:styleId="831">
    <w:name w:val="footnote reference"/>
    <w:basedOn w:val="675"/>
    <w:uiPriority w:val="99"/>
    <w:unhideWhenUsed/>
    <w:pPr>
      <w:pBdr/>
      <w:spacing/>
      <w:ind/>
    </w:pPr>
    <w:rPr>
      <w:vertAlign w:val="superscript"/>
    </w:rPr>
  </w:style>
  <w:style w:type="paragraph" w:styleId="832">
    <w:name w:val="endnote text"/>
    <w:basedOn w:val="665"/>
    <w:link w:val="83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33" w:customStyle="1">
    <w:name w:val="Текст концевой сноски Знак"/>
    <w:link w:val="832"/>
    <w:uiPriority w:val="99"/>
    <w:pPr>
      <w:pBdr/>
      <w:spacing/>
      <w:ind/>
    </w:pPr>
    <w:rPr>
      <w:sz w:val="20"/>
    </w:rPr>
  </w:style>
  <w:style w:type="character" w:styleId="834">
    <w:name w:val="endnote reference"/>
    <w:basedOn w:val="675"/>
    <w:uiPriority w:val="99"/>
    <w:semiHidden/>
    <w:unhideWhenUsed/>
    <w:pPr>
      <w:pBdr/>
      <w:spacing/>
      <w:ind/>
    </w:pPr>
    <w:rPr>
      <w:vertAlign w:val="superscript"/>
    </w:rPr>
  </w:style>
  <w:style w:type="paragraph" w:styleId="835">
    <w:name w:val="toc 1"/>
    <w:basedOn w:val="665"/>
    <w:next w:val="665"/>
    <w:uiPriority w:val="39"/>
    <w:unhideWhenUsed/>
    <w:pPr>
      <w:pBdr/>
      <w:spacing w:after="57"/>
      <w:ind/>
    </w:pPr>
  </w:style>
  <w:style w:type="paragraph" w:styleId="836">
    <w:name w:val="toc 2"/>
    <w:basedOn w:val="665"/>
    <w:next w:val="665"/>
    <w:uiPriority w:val="39"/>
    <w:unhideWhenUsed/>
    <w:pPr>
      <w:pBdr/>
      <w:spacing w:after="57"/>
      <w:ind w:left="283"/>
    </w:pPr>
  </w:style>
  <w:style w:type="paragraph" w:styleId="837">
    <w:name w:val="toc 3"/>
    <w:basedOn w:val="665"/>
    <w:next w:val="665"/>
    <w:uiPriority w:val="39"/>
    <w:unhideWhenUsed/>
    <w:pPr>
      <w:pBdr/>
      <w:spacing w:after="57"/>
      <w:ind w:left="567"/>
    </w:pPr>
  </w:style>
  <w:style w:type="paragraph" w:styleId="838">
    <w:name w:val="toc 4"/>
    <w:basedOn w:val="665"/>
    <w:next w:val="665"/>
    <w:uiPriority w:val="39"/>
    <w:unhideWhenUsed/>
    <w:pPr>
      <w:pBdr/>
      <w:spacing w:after="57"/>
      <w:ind w:left="850"/>
    </w:pPr>
  </w:style>
  <w:style w:type="paragraph" w:styleId="839">
    <w:name w:val="toc 5"/>
    <w:basedOn w:val="665"/>
    <w:next w:val="665"/>
    <w:uiPriority w:val="39"/>
    <w:unhideWhenUsed/>
    <w:pPr>
      <w:pBdr/>
      <w:spacing w:after="57"/>
      <w:ind w:left="1134"/>
    </w:pPr>
  </w:style>
  <w:style w:type="paragraph" w:styleId="840">
    <w:name w:val="toc 6"/>
    <w:basedOn w:val="665"/>
    <w:next w:val="665"/>
    <w:uiPriority w:val="39"/>
    <w:unhideWhenUsed/>
    <w:pPr>
      <w:pBdr/>
      <w:spacing w:after="57"/>
      <w:ind w:left="1417"/>
    </w:pPr>
  </w:style>
  <w:style w:type="paragraph" w:styleId="841">
    <w:name w:val="toc 7"/>
    <w:basedOn w:val="665"/>
    <w:next w:val="665"/>
    <w:uiPriority w:val="39"/>
    <w:unhideWhenUsed/>
    <w:pPr>
      <w:pBdr/>
      <w:spacing w:after="57"/>
      <w:ind w:left="1701"/>
    </w:pPr>
  </w:style>
  <w:style w:type="paragraph" w:styleId="842">
    <w:name w:val="toc 8"/>
    <w:basedOn w:val="665"/>
    <w:next w:val="665"/>
    <w:uiPriority w:val="39"/>
    <w:unhideWhenUsed/>
    <w:pPr>
      <w:pBdr/>
      <w:spacing w:after="57"/>
      <w:ind w:left="1984"/>
    </w:pPr>
  </w:style>
  <w:style w:type="paragraph" w:styleId="843">
    <w:name w:val="toc 9"/>
    <w:basedOn w:val="665"/>
    <w:next w:val="665"/>
    <w:uiPriority w:val="39"/>
    <w:unhideWhenUsed/>
    <w:pPr>
      <w:pBdr/>
      <w:spacing w:after="57"/>
      <w:ind w:left="2268"/>
    </w:pPr>
  </w:style>
  <w:style w:type="paragraph" w:styleId="844">
    <w:name w:val="TOC Heading"/>
    <w:uiPriority w:val="39"/>
    <w:unhideWhenUsed/>
    <w:pPr>
      <w:pBdr/>
      <w:spacing/>
      <w:ind/>
    </w:pPr>
  </w:style>
  <w:style w:type="paragraph" w:styleId="845">
    <w:name w:val="table of figures"/>
    <w:basedOn w:val="665"/>
    <w:next w:val="665"/>
    <w:uiPriority w:val="99"/>
    <w:unhideWhenUsed/>
    <w:pPr>
      <w:pBdr/>
      <w:spacing w:after="0"/>
      <w:ind/>
    </w:pPr>
  </w:style>
  <w:style w:type="paragraph" w:styleId="846">
    <w:name w:val="List Paragraph"/>
    <w:basedOn w:val="665"/>
    <w:uiPriority w:val="34"/>
    <w:qFormat/>
    <w:pPr>
      <w:pBdr/>
      <w:spacing/>
      <w:ind w:left="720"/>
      <w:contextualSpacing w:val="true"/>
    </w:pPr>
  </w:style>
  <w:style w:type="paragraph" w:styleId="847">
    <w:name w:val="Balloon Text"/>
    <w:basedOn w:val="665"/>
    <w:link w:val="84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48" w:customStyle="1">
    <w:name w:val="Текст выноски Знак"/>
    <w:basedOn w:val="675"/>
    <w:link w:val="84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_803" w:customStyle="1">
    <w:name w:val="Body Text"/>
    <w:basedOn w:val="629"/>
    <w:link w:val="646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rebuchet MS" w:hAnsi="Trebuchet MS" w:eastAsia="Trebuchet MS" w:cs="Trebuchet MS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revision>13</cp:revision>
  <dcterms:created xsi:type="dcterms:W3CDTF">2023-05-15T12:40:00Z</dcterms:created>
  <dcterms:modified xsi:type="dcterms:W3CDTF">2024-02-07T16:39:02Z</dcterms:modified>
</cp:coreProperties>
</file>